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0" w:line="240" w:lineRule="auto"/>
        <w:rPr>
          <w:rFonts w:ascii="Merriweather" w:cs="Merriweather" w:eastAsia="Merriweather" w:hAnsi="Merriweather"/>
          <w:b w:val="1"/>
          <w:bCs w:val="1"/>
          <w:sz w:val="123"/>
          <w:szCs w:val="123"/>
        </w:rPr>
      </w:pPr>
      <w:bookmarkStart w:colFirst="0" w:colLast="0" w:name="_soec23i8a85j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8"/>
          <w:szCs w:val="28"/>
          <w:rtl w:val="0"/>
        </w:rPr>
        <w:t xml:space="preserve">Quels sont les documents nécessaires en vue d’un mariage?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ind w:left="-140" w:right="160" w:firstLine="0"/>
        <w:jc w:val="both"/>
        <w:rPr>
          <w:rFonts w:ascii="Merriweather" w:cs="Merriweather" w:eastAsia="Merriweather" w:hAnsi="Merriweather"/>
          <w:b w:val="1"/>
          <w:bCs w:val="1"/>
          <w:sz w:val="123"/>
          <w:szCs w:val="12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123"/>
          <w:szCs w:val="123"/>
        </w:rPr>
        <w:drawing>
          <wp:inline distB="114300" distT="114300" distL="114300" distR="114300">
            <wp:extent cx="3314700" cy="2209800"/>
            <wp:effectExtent b="0" l="0" r="0" t="0"/>
            <wp:docPr descr="main dans la main mariage" id="1" name="image1.jpg"/>
            <a:graphic>
              <a:graphicData uri="http://schemas.openxmlformats.org/drawingml/2006/picture">
                <pic:pic>
                  <pic:nvPicPr>
                    <pic:cNvPr descr="main dans la main mariag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fldChar w:fldCharType="begin"/>
        <w:instrText xml:space="preserve"> HYPERLINK "https://liturgie.catholique.fr/wp-content/uploads/sites/11/2016/06/main-dans-la-main-mariage.jpg"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360" w:lineRule="auto"/>
        <w:ind w:left="-140" w:right="160" w:firstLine="0"/>
        <w:jc w:val="center"/>
        <w:rPr>
          <w:rFonts w:ascii="Georgia" w:cs="Georgia" w:eastAsia="Georgia" w:hAnsi="Georgia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"https://liturgie.catholique.fr/wp-content/uploads/sites/11/2016/06/main-dans-la-main-mariage.jpg" </w:instrText>
        <w:fldChar w:fldCharType="separate"/>
      </w: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sz w:val="24"/>
          <w:szCs w:val="24"/>
          <w:rtl w:val="0"/>
        </w:rPr>
        <w:t xml:space="preserve">i</w:t>
      </w:r>
    </w:p>
    <w:p w:rsidR="00000000" w:rsidDel="00000000" w:rsidP="00000000" w:rsidRDefault="00000000" w:rsidRPr="00000000" w14:paraId="00000004">
      <w:pPr>
        <w:shd w:fill="ffffff" w:val="clear"/>
        <w:ind w:left="-140" w:right="-140" w:firstLine="0"/>
        <w:jc w:val="both"/>
        <w:rPr>
          <w:sz w:val="23"/>
          <w:szCs w:val="23"/>
        </w:rPr>
      </w:pPr>
      <w:r w:rsidDel="00000000" w:rsidR="00000000" w:rsidRPr="00000000">
        <w:fldChar w:fldCharType="end"/>
      </w:r>
      <w:r w:rsidDel="00000000" w:rsidR="00000000" w:rsidRPr="00000000">
        <w:rPr>
          <w:sz w:val="23"/>
          <w:szCs w:val="23"/>
          <w:rtl w:val="0"/>
        </w:rPr>
        <w:t xml:space="preserve">Les documents nécessaires en vue d’un mariage sont les suivants 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580" w:right="-140" w:hanging="360"/>
      </w:pPr>
      <w:r w:rsidDel="00000000" w:rsidR="00000000" w:rsidRPr="00000000">
        <w:rPr>
          <w:sz w:val="23"/>
          <w:szCs w:val="23"/>
          <w:rtl w:val="0"/>
        </w:rPr>
        <w:t xml:space="preserve">Un acte de naissance en vue du mariage (un extrait d’acte de naissance n’est pas suffisant)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Rule="auto"/>
        <w:ind w:left="580" w:right="-140" w:hanging="360"/>
      </w:pPr>
      <w:r w:rsidDel="00000000" w:rsidR="00000000" w:rsidRPr="00000000">
        <w:rPr>
          <w:sz w:val="23"/>
          <w:szCs w:val="23"/>
          <w:rtl w:val="0"/>
        </w:rPr>
        <w:t xml:space="preserve">Un acte de </w:t>
      </w:r>
      <w:hyperlink r:id="rId7">
        <w:r w:rsidDel="00000000" w:rsidR="00000000" w:rsidRPr="00000000">
          <w:rPr>
            <w:sz w:val="23"/>
            <w:szCs w:val="23"/>
            <w:rtl w:val="0"/>
          </w:rPr>
          <w:t xml:space="preserve">baptême</w:t>
        </w:r>
      </w:hyperlink>
      <w:r w:rsidDel="00000000" w:rsidR="00000000" w:rsidRPr="00000000">
        <w:rPr>
          <w:sz w:val="23"/>
          <w:szCs w:val="23"/>
          <w:rtl w:val="0"/>
        </w:rPr>
        <w:t xml:space="preserve"> pour mariage (que le prêtre demandera lui-même)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00" w:lineRule="auto"/>
        <w:ind w:left="580" w:right="-140" w:hanging="360"/>
      </w:pPr>
      <w:r w:rsidDel="00000000" w:rsidR="00000000" w:rsidRPr="00000000">
        <w:rPr>
          <w:sz w:val="23"/>
          <w:szCs w:val="23"/>
          <w:rtl w:val="0"/>
        </w:rPr>
        <w:t xml:space="preserve">Une déclaration d’intention de la part de chacun des fiancés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ind w:left="-140" w:right="-140" w:firstLine="0"/>
        <w:jc w:val="both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Le dossier canonique requis est constitué par le prêtre ou le </w:t>
      </w:r>
      <w:hyperlink r:id="rId8">
        <w:r w:rsidDel="00000000" w:rsidR="00000000" w:rsidRPr="00000000">
          <w:rPr>
            <w:color w:val="76767c"/>
            <w:sz w:val="23"/>
            <w:szCs w:val="23"/>
            <w:rtl w:val="0"/>
          </w:rPr>
          <w:t xml:space="preserve">diacre</w:t>
        </w:r>
      </w:hyperlink>
      <w:r w:rsidDel="00000000" w:rsidR="00000000" w:rsidRPr="00000000">
        <w:rPr>
          <w:sz w:val="23"/>
          <w:szCs w:val="23"/>
          <w:rtl w:val="0"/>
        </w:rPr>
        <w:t xml:space="preserve"> qui fait la préparation.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-140" w:right="-140" w:firstLine="0"/>
        <w:jc w:val="both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En général, on demande que la préparation débute au moins 6 mois à l’avance, voire même 1 an ! Aussi ne faut-il pas tarder à s’inscrire auprès de la paroisse pour voir les détails et les disponibilités.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rFonts w:ascii="Arial" w:cs="Arial" w:eastAsia="Arial" w:hAnsi="Arial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liturgie.catholique.fr/lexique/bapteme/" TargetMode="External"/><Relationship Id="rId8" Type="http://schemas.openxmlformats.org/officeDocument/2006/relationships/hyperlink" Target="https://liturgie.catholique.fr/lexique/diacr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